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ACE" w:rsidRDefault="007A60D3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  <w:bookmarkStart w:id="0" w:name="_GoBack"/>
      <w:bookmarkEnd w:id="0"/>
      <w:r w:rsidRPr="000D7ACE">
        <w:t xml:space="preserve"> </w:t>
      </w:r>
      <w:r w:rsidR="000D7ACE">
        <w:rPr>
          <w:color w:val="000000"/>
          <w:sz w:val="28"/>
        </w:rPr>
        <w:t>Аналитическая записка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  <w:r>
        <w:rPr>
          <w:color w:val="000000"/>
          <w:sz w:val="28"/>
        </w:rPr>
        <w:t>к сводному отчету об оценке эффективности налоговых расходов города Нефтеюганска за 2024 год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  <w:r>
        <w:rPr>
          <w:color w:val="000000"/>
          <w:sz w:val="28"/>
        </w:rPr>
        <w:t> 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Оценка налоговых расходов города Нефтеюганска за 2024 год (далее – оценка) проведена в соответствии с порядком, утвержденным постановлением администрации города Нефтеюганска от 31.08.2020 № 128-нп «О формировании перечня и оценки налоговых расходов муниципального образования город Нефтеюганск».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 xml:space="preserve">Оценка налоговых расходов проведена на основе комплекса мероприятий, позволяющих сделать вывод о целесообразности и результативности предоставления налоговых льгот (преференций), в целях минимизации риска предоставления неэффективных налоговых льгот (преференций), рационального использования инструментов налогового стимулирования. 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5" w:lineRule="atLeast"/>
        <w:ind w:firstLine="709"/>
        <w:jc w:val="both"/>
      </w:pPr>
      <w:r>
        <w:rPr>
          <w:color w:val="000000"/>
          <w:sz w:val="28"/>
        </w:rPr>
        <w:t>Оценка проведена на основании перечня налоговых расходов на 2024 год (далее – Перечень), сформированного департаментом финансов администрации города Нефтеюганска (далее – департамент финансов), в котором определена принадлежность каждого налогового расхода целям муниципальных программ, направлениям социально-экономической политики города. Определены типы налоговых расходов в зависимости от целевой категории (стимулирующие, социальные).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В Перечень включены 28 налоговых расходов, в виде налоговых льгот, пониженных ставок и налоговых вычетов, установленных решениями Думы города о местных налогах: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418"/>
          <w:tab w:val="left" w:pos="2127"/>
        </w:tabs>
        <w:ind w:firstLine="567"/>
        <w:jc w:val="both"/>
      </w:pPr>
      <w:r>
        <w:rPr>
          <w:color w:val="000000"/>
          <w:sz w:val="28"/>
        </w:rPr>
        <w:t xml:space="preserve">-решения Думы от 28.10.2020 № 849-VI "О налоге на имущество физических лиц"(с изменениями от 27.04.2021 №127-VII, от 29.06.2022 №172-VII, от 28.06.2023№ 372-VII). 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</w:pPr>
      <w:r>
        <w:rPr>
          <w:color w:val="000000"/>
          <w:sz w:val="28"/>
        </w:rPr>
        <w:t>-решения Думы от 21.06.2021 № 981-VI "О земельном налоге"                                         (с изменениями от 22.12.2021 №54-VII, от 26.10.2022 №227-VII, от 28.06.2023№371-VII,</w:t>
      </w:r>
      <w:r>
        <w:rPr>
          <w:rFonts w:ascii="Calibri" w:eastAsia="Calibri" w:hAnsi="Calibri" w:cs="Calibri"/>
          <w:color w:val="000000"/>
          <w:sz w:val="22"/>
        </w:rPr>
        <w:t xml:space="preserve"> </w:t>
      </w:r>
      <w:r>
        <w:rPr>
          <w:color w:val="000000"/>
          <w:sz w:val="28"/>
        </w:rPr>
        <w:t>от 27.03.2024 №491-VII).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 xml:space="preserve">Все налоговые расходы соответствуют целям стратегии социально-экономического развития муниципального образования города Нефтеюганска на период до 2030 года: 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-создание условий для повышения качества жизни населения города;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-создание благоприятной институциональной среды через формирование рациональной системы норм, правил и регламентов взаимодействия гражданского общества, бизнеса и власти;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-обеспечение потребностей населения в доступном и комфортном жилье, жилищно-коммунальных услугах, комфортной и благоустроенной бытовой среде, и бытовых услугах;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-улучшение демографической ситуации;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-улучшение качества услуг в сфере образования;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-популяризация культурного наследия, повышение качества культурных услуг;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lastRenderedPageBreak/>
        <w:t>-сохранение системы традиционных российских семейных ценностей и духовно-нравственное воспитание детей и молодежи.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  <w:u w:val="single"/>
        </w:rPr>
        <w:t>Оценка объемов налоговых расходов</w:t>
      </w:r>
      <w:r>
        <w:rPr>
          <w:color w:val="000000"/>
          <w:sz w:val="28"/>
        </w:rPr>
        <w:t xml:space="preserve"> проведена департаментом финансов на основании информации Межрайонной ИФНС России №7 ХМАО-Югры о фискальных характеристиках налоговых расходов, включенных в перечень.</w:t>
      </w:r>
    </w:p>
    <w:p w:rsidR="000D7ACE" w:rsidRP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center"/>
      </w:pPr>
      <w:r w:rsidRPr="000D7ACE">
        <w:rPr>
          <w:color w:val="000000"/>
          <w:sz w:val="28"/>
        </w:rPr>
        <w:t> </w:t>
      </w:r>
    </w:p>
    <w:p w:rsidR="000D7ACE" w:rsidRP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center"/>
      </w:pPr>
      <w:r w:rsidRPr="000D7ACE">
        <w:rPr>
          <w:color w:val="000000"/>
          <w:sz w:val="28"/>
        </w:rPr>
        <w:t>Общая сумма налоговых расходов за 2024 год в разрезе видов налогов и типов налоговых расходов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right"/>
      </w:pPr>
      <w:r w:rsidRPr="000D7ACE">
        <w:rPr>
          <w:color w:val="000000"/>
          <w:sz w:val="28"/>
        </w:rPr>
        <w:t>                                                                                </w:t>
      </w:r>
      <w:r>
        <w:rPr>
          <w:color w:val="000000"/>
          <w:sz w:val="28"/>
        </w:rPr>
        <w:t>                     </w:t>
      </w:r>
      <w:r w:rsidRPr="000D7ACE">
        <w:rPr>
          <w:color w:val="000000"/>
          <w:sz w:val="28"/>
        </w:rPr>
        <w:t>  Таблица 1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523"/>
        <w:gridCol w:w="4905"/>
        <w:gridCol w:w="1988"/>
        <w:gridCol w:w="1939"/>
      </w:tblGrid>
      <w:tr w:rsidR="000D7ACE" w:rsidTr="003176AD">
        <w:trPr>
          <w:trHeight w:val="586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color w:val="000000"/>
                <w:sz w:val="22"/>
                <w:highlight w:val="white"/>
              </w:rPr>
              <w:t xml:space="preserve">№ </w:t>
            </w:r>
          </w:p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color w:val="000000"/>
                <w:sz w:val="22"/>
                <w:highlight w:val="white"/>
              </w:rPr>
              <w:t>п/п</w:t>
            </w:r>
          </w:p>
        </w:tc>
        <w:tc>
          <w:tcPr>
            <w:tcW w:w="4905" w:type="dxa"/>
            <w:tcBorders>
              <w:top w:val="single" w:sz="8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color w:val="000000"/>
                <w:sz w:val="22"/>
                <w:highlight w:val="white"/>
              </w:rPr>
              <w:t> </w:t>
            </w:r>
          </w:p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color w:val="000000"/>
                <w:sz w:val="22"/>
                <w:highlight w:val="white"/>
              </w:rPr>
              <w:t>Наименование показателей</w:t>
            </w:r>
          </w:p>
        </w:tc>
        <w:tc>
          <w:tcPr>
            <w:tcW w:w="3927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color w:val="000000"/>
                <w:sz w:val="22"/>
                <w:highlight w:val="white"/>
              </w:rPr>
              <w:t> </w:t>
            </w:r>
          </w:p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color w:val="000000"/>
                <w:sz w:val="22"/>
                <w:highlight w:val="white"/>
              </w:rPr>
              <w:t>2024 год</w:t>
            </w:r>
          </w:p>
        </w:tc>
      </w:tr>
      <w:tr w:rsidR="000D7ACE" w:rsidTr="003176AD">
        <w:trPr>
          <w:trHeight w:val="61"/>
        </w:trPr>
        <w:tc>
          <w:tcPr>
            <w:tcW w:w="52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color w:val="000000"/>
                <w:sz w:val="22"/>
                <w:highlight w:val="white"/>
              </w:rPr>
              <w:t> </w:t>
            </w:r>
          </w:p>
        </w:tc>
        <w:tc>
          <w:tcPr>
            <w:tcW w:w="490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color w:val="000000"/>
                <w:sz w:val="22"/>
                <w:highlight w:val="white"/>
              </w:rPr>
              <w:t> </w:t>
            </w:r>
          </w:p>
        </w:tc>
        <w:tc>
          <w:tcPr>
            <w:tcW w:w="1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color w:val="000000"/>
                <w:sz w:val="22"/>
                <w:highlight w:val="white"/>
              </w:rPr>
              <w:t xml:space="preserve">Количество </w:t>
            </w:r>
          </w:p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color w:val="000000"/>
                <w:sz w:val="22"/>
                <w:highlight w:val="white"/>
              </w:rPr>
              <w:t>(ед.)</w:t>
            </w:r>
          </w:p>
        </w:tc>
        <w:tc>
          <w:tcPr>
            <w:tcW w:w="19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  <w:sz w:val="22"/>
                <w:highlight w:val="white"/>
              </w:rPr>
              <w:t xml:space="preserve">       Сумма </w:t>
            </w:r>
          </w:p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color w:val="000000"/>
                <w:sz w:val="22"/>
                <w:highlight w:val="white"/>
              </w:rPr>
              <w:t>  (тыс. рублей)</w:t>
            </w:r>
          </w:p>
        </w:tc>
      </w:tr>
      <w:tr w:rsidR="000D7ACE" w:rsidTr="003176AD">
        <w:trPr>
          <w:trHeight w:val="895"/>
        </w:trPr>
        <w:tc>
          <w:tcPr>
            <w:tcW w:w="52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</w:pPr>
            <w:r>
              <w:rPr>
                <w:color w:val="000000"/>
                <w:sz w:val="22"/>
                <w:highlight w:val="white"/>
              </w:rPr>
              <w:t>1.</w:t>
            </w:r>
          </w:p>
        </w:tc>
        <w:tc>
          <w:tcPr>
            <w:tcW w:w="490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color w:val="000000"/>
                <w:sz w:val="22"/>
                <w:highlight w:val="white"/>
              </w:rPr>
              <w:t xml:space="preserve">Всего налоговые расходы, в соответствии с решениями Думы города Нефтеюганска о местных налогах, </w:t>
            </w:r>
          </w:p>
        </w:tc>
        <w:tc>
          <w:tcPr>
            <w:tcW w:w="1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b/>
                <w:color w:val="000000"/>
                <w:sz w:val="22"/>
                <w:highlight w:val="white"/>
              </w:rPr>
              <w:t>28</w:t>
            </w:r>
          </w:p>
        </w:tc>
        <w:tc>
          <w:tcPr>
            <w:tcW w:w="19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b/>
                <w:color w:val="000000"/>
                <w:sz w:val="22"/>
              </w:rPr>
              <w:t>21 606,4</w:t>
            </w:r>
          </w:p>
        </w:tc>
      </w:tr>
      <w:tr w:rsidR="000D7ACE" w:rsidTr="003176AD">
        <w:trPr>
          <w:trHeight w:val="286"/>
        </w:trPr>
        <w:tc>
          <w:tcPr>
            <w:tcW w:w="52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</w:pPr>
            <w:r>
              <w:rPr>
                <w:color w:val="000000"/>
                <w:sz w:val="22"/>
                <w:highlight w:val="white"/>
              </w:rPr>
              <w:t> </w:t>
            </w:r>
          </w:p>
        </w:tc>
        <w:tc>
          <w:tcPr>
            <w:tcW w:w="490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color w:val="000000"/>
                <w:sz w:val="22"/>
                <w:highlight w:val="white"/>
              </w:rPr>
              <w:t>в том числе:</w:t>
            </w:r>
          </w:p>
        </w:tc>
        <w:tc>
          <w:tcPr>
            <w:tcW w:w="1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ACE" w:rsidRP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 w:rsidRPr="000D7ACE">
              <w:rPr>
                <w:b/>
                <w:color w:val="000000"/>
                <w:sz w:val="22"/>
              </w:rPr>
              <w:t> </w:t>
            </w:r>
          </w:p>
        </w:tc>
        <w:tc>
          <w:tcPr>
            <w:tcW w:w="19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ACE" w:rsidRP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 w:rsidRPr="000D7ACE">
              <w:rPr>
                <w:b/>
                <w:color w:val="000000"/>
                <w:sz w:val="22"/>
              </w:rPr>
              <w:t> </w:t>
            </w:r>
          </w:p>
        </w:tc>
      </w:tr>
      <w:tr w:rsidR="000D7ACE" w:rsidTr="003176AD">
        <w:trPr>
          <w:trHeight w:val="474"/>
        </w:trPr>
        <w:tc>
          <w:tcPr>
            <w:tcW w:w="52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</w:pPr>
            <w:r>
              <w:rPr>
                <w:color w:val="000000"/>
                <w:sz w:val="22"/>
                <w:highlight w:val="white"/>
              </w:rPr>
              <w:t>1.1</w:t>
            </w:r>
          </w:p>
        </w:tc>
        <w:tc>
          <w:tcPr>
            <w:tcW w:w="490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color w:val="000000"/>
                <w:sz w:val="22"/>
                <w:highlight w:val="white"/>
              </w:rPr>
              <w:t>Налоговые расходы, установленные решением Думы от 21.06.2021 №981-VI "О земельном налоге", из них</w:t>
            </w:r>
          </w:p>
        </w:tc>
        <w:tc>
          <w:tcPr>
            <w:tcW w:w="1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b/>
                <w:color w:val="000000"/>
                <w:sz w:val="22"/>
                <w:highlight w:val="white"/>
              </w:rPr>
              <w:t>23</w:t>
            </w:r>
          </w:p>
        </w:tc>
        <w:tc>
          <w:tcPr>
            <w:tcW w:w="19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b/>
                <w:color w:val="000000"/>
                <w:sz w:val="22"/>
              </w:rPr>
              <w:t>16 444,2</w:t>
            </w:r>
          </w:p>
        </w:tc>
      </w:tr>
      <w:tr w:rsidR="000D7ACE" w:rsidTr="003176AD">
        <w:trPr>
          <w:trHeight w:val="416"/>
        </w:trPr>
        <w:tc>
          <w:tcPr>
            <w:tcW w:w="52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</w:pPr>
            <w:r>
              <w:rPr>
                <w:color w:val="000000"/>
                <w:sz w:val="22"/>
                <w:highlight w:val="white"/>
              </w:rPr>
              <w:t> </w:t>
            </w:r>
          </w:p>
        </w:tc>
        <w:tc>
          <w:tcPr>
            <w:tcW w:w="490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i/>
                <w:color w:val="000000"/>
                <w:sz w:val="22"/>
                <w:highlight w:val="white"/>
              </w:rPr>
              <w:t>Стимулирующие налоговые расходы</w:t>
            </w:r>
            <w:r>
              <w:rPr>
                <w:color w:val="000000"/>
                <w:sz w:val="22"/>
                <w:highlight w:val="white"/>
              </w:rPr>
              <w:t xml:space="preserve"> (соответствуют цели стратегии социально-экономического развития)</w:t>
            </w:r>
          </w:p>
        </w:tc>
        <w:tc>
          <w:tcPr>
            <w:tcW w:w="1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i/>
                <w:color w:val="000000"/>
                <w:sz w:val="22"/>
                <w:highlight w:val="white"/>
              </w:rPr>
              <w:t>17</w:t>
            </w:r>
          </w:p>
        </w:tc>
        <w:tc>
          <w:tcPr>
            <w:tcW w:w="19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i/>
                <w:color w:val="000000"/>
                <w:sz w:val="22"/>
              </w:rPr>
              <w:t>16 279,4</w:t>
            </w:r>
          </w:p>
        </w:tc>
      </w:tr>
      <w:tr w:rsidR="000D7ACE" w:rsidTr="003176AD">
        <w:trPr>
          <w:trHeight w:val="565"/>
        </w:trPr>
        <w:tc>
          <w:tcPr>
            <w:tcW w:w="52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</w:pPr>
            <w:r>
              <w:rPr>
                <w:color w:val="000000"/>
                <w:sz w:val="22"/>
                <w:highlight w:val="white"/>
              </w:rPr>
              <w:t> </w:t>
            </w:r>
          </w:p>
        </w:tc>
        <w:tc>
          <w:tcPr>
            <w:tcW w:w="490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i/>
                <w:color w:val="000000"/>
                <w:sz w:val="22"/>
                <w:highlight w:val="white"/>
              </w:rPr>
              <w:t>Социальные налоговые расходы (соответствуют цели стратегии социально-экономического развития)</w:t>
            </w:r>
          </w:p>
        </w:tc>
        <w:tc>
          <w:tcPr>
            <w:tcW w:w="1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i/>
                <w:color w:val="000000"/>
                <w:sz w:val="22"/>
                <w:highlight w:val="white"/>
              </w:rPr>
              <w:t>6</w:t>
            </w:r>
          </w:p>
        </w:tc>
        <w:tc>
          <w:tcPr>
            <w:tcW w:w="19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i/>
                <w:color w:val="000000"/>
                <w:sz w:val="22"/>
              </w:rPr>
              <w:t>164,8</w:t>
            </w:r>
          </w:p>
        </w:tc>
      </w:tr>
      <w:tr w:rsidR="000D7ACE" w:rsidTr="003176AD">
        <w:trPr>
          <w:trHeight w:val="607"/>
        </w:trPr>
        <w:tc>
          <w:tcPr>
            <w:tcW w:w="52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</w:pPr>
            <w:r>
              <w:rPr>
                <w:color w:val="000000"/>
                <w:sz w:val="22"/>
                <w:highlight w:val="white"/>
              </w:rPr>
              <w:t>1.2</w:t>
            </w:r>
          </w:p>
        </w:tc>
        <w:tc>
          <w:tcPr>
            <w:tcW w:w="490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color w:val="000000"/>
                <w:sz w:val="22"/>
                <w:highlight w:val="white"/>
              </w:rPr>
              <w:t>Налоговые расходы, установленные решением Думы 28.10.2020 №849-VI "О налоге на имущество физических лиц", из них</w:t>
            </w:r>
          </w:p>
        </w:tc>
        <w:tc>
          <w:tcPr>
            <w:tcW w:w="1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b/>
                <w:color w:val="000000"/>
                <w:sz w:val="22"/>
              </w:rPr>
              <w:t>5</w:t>
            </w:r>
          </w:p>
        </w:tc>
        <w:tc>
          <w:tcPr>
            <w:tcW w:w="19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b/>
                <w:i/>
                <w:color w:val="000000"/>
                <w:sz w:val="22"/>
              </w:rPr>
              <w:t>5 162,2</w:t>
            </w:r>
          </w:p>
        </w:tc>
      </w:tr>
      <w:tr w:rsidR="000D7ACE" w:rsidRPr="000D7ACE" w:rsidTr="003176AD">
        <w:trPr>
          <w:trHeight w:val="412"/>
        </w:trPr>
        <w:tc>
          <w:tcPr>
            <w:tcW w:w="52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ACE" w:rsidRP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</w:pPr>
            <w:r w:rsidRPr="000D7ACE">
              <w:rPr>
                <w:i/>
                <w:color w:val="000000"/>
                <w:sz w:val="22"/>
              </w:rPr>
              <w:t> </w:t>
            </w:r>
          </w:p>
        </w:tc>
        <w:tc>
          <w:tcPr>
            <w:tcW w:w="490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ACE" w:rsidRP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0D7ACE">
              <w:rPr>
                <w:i/>
                <w:color w:val="000000"/>
                <w:sz w:val="22"/>
              </w:rPr>
              <w:t>Социальные налоговые расходы (соответствуют цели стратегии социально-экономического развития)</w:t>
            </w:r>
          </w:p>
        </w:tc>
        <w:tc>
          <w:tcPr>
            <w:tcW w:w="1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ACE" w:rsidRP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 w:rsidRPr="000D7ACE">
              <w:rPr>
                <w:i/>
                <w:color w:val="000000"/>
                <w:sz w:val="22"/>
              </w:rPr>
              <w:t>5</w:t>
            </w:r>
          </w:p>
        </w:tc>
        <w:tc>
          <w:tcPr>
            <w:tcW w:w="19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ACE" w:rsidRPr="000D7ACE" w:rsidRDefault="000D7ACE" w:rsidP="00317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 w:rsidRPr="000D7ACE">
              <w:rPr>
                <w:i/>
                <w:color w:val="000000"/>
                <w:sz w:val="22"/>
              </w:rPr>
              <w:t>5 162,2</w:t>
            </w:r>
          </w:p>
        </w:tc>
      </w:tr>
    </w:tbl>
    <w:p w:rsidR="000D7ACE" w:rsidRP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0D7ACE">
        <w:rPr>
          <w:b/>
          <w:color w:val="000000"/>
          <w:sz w:val="28"/>
        </w:rPr>
        <w:t> 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0D7ACE">
        <w:rPr>
          <w:b/>
          <w:color w:val="000000"/>
          <w:sz w:val="28"/>
        </w:rPr>
        <w:t xml:space="preserve">Оценка эффективности </w:t>
      </w:r>
      <w:r>
        <w:rPr>
          <w:b/>
          <w:color w:val="000000"/>
          <w:sz w:val="28"/>
          <w:highlight w:val="white"/>
        </w:rPr>
        <w:t>налоговых расходов по земельному налогу.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  <w:highlight w:val="white"/>
        </w:rPr>
        <w:t> 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  <w:highlight w:val="white"/>
        </w:rPr>
        <w:t xml:space="preserve">В соответствии с Решением Думы от 21.06.2021 № 981-VI "О земельном налоге" налоговые расходы предоставлены в виде налоговых льгот и </w:t>
      </w:r>
      <w:r>
        <w:rPr>
          <w:color w:val="000000"/>
          <w:sz w:val="28"/>
        </w:rPr>
        <w:t xml:space="preserve">пониженных ставок. 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 xml:space="preserve">Общий объем налоговых расходов по земельному налогу составил                         16 444,2 тыс. рублей. Оценка эффективности проведена по 23 налоговым расходам (17 стимулирующим и 6 социальным). Правом на применение установленных налоговых преференций по земельному налогу в 2024 году воспользовался 371 налогоплательщик. 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 xml:space="preserve">Основной объем налоговых расходов приходится на стимулирующие налоговые расходы. 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  <w:u w:val="single"/>
        </w:rPr>
        <w:t>Стимулирующие налоговые расходы по земельному налогу в размере 50%: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 xml:space="preserve">1)организации в отношении земельных участков, в границах которых реализуется инвестиционный проект в соответствии с соглашением о защите и </w:t>
      </w:r>
      <w:r>
        <w:rPr>
          <w:color w:val="000000"/>
          <w:sz w:val="28"/>
        </w:rPr>
        <w:lastRenderedPageBreak/>
        <w:t>поощрении капиталовложений, с момента начала строительства, подтвержденного выданным разрешением на строительство, до ввода объекта в эксплуатацию, но не более трех лет;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2)организации в отношении земельных участков, занятых индустриальными (промышленными) парками.</w:t>
      </w:r>
    </w:p>
    <w:p w:rsidR="00AF380E" w:rsidRDefault="00AF380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</w:rPr>
      </w:pPr>
      <w:r w:rsidRPr="00AF380E">
        <w:rPr>
          <w:color w:val="000000"/>
          <w:sz w:val="28"/>
        </w:rPr>
        <w:t xml:space="preserve">Налоговый вычет предоставляется с первого числа месяца, следующего за месяцем, в котором управляющая компания включена в реестр индустриальных (промышленных) парков и управляющих компаний индустриальных (промышленных) парков, соответствующих требованиям, определенным Постановлением Правительства Российской Федерации от 04.08.2015 </w:t>
      </w:r>
      <w:r>
        <w:rPr>
          <w:color w:val="000000"/>
          <w:sz w:val="28"/>
        </w:rPr>
        <w:t>№</w:t>
      </w:r>
      <w:r w:rsidRPr="00AF380E">
        <w:rPr>
          <w:color w:val="000000"/>
          <w:sz w:val="28"/>
        </w:rPr>
        <w:t xml:space="preserve"> 794 </w:t>
      </w:r>
      <w:r>
        <w:rPr>
          <w:color w:val="000000"/>
          <w:sz w:val="28"/>
        </w:rPr>
        <w:t xml:space="preserve">               </w:t>
      </w:r>
      <w:r w:rsidRPr="00AF380E">
        <w:rPr>
          <w:color w:val="000000"/>
          <w:sz w:val="28"/>
        </w:rPr>
        <w:t>"Об индустриальных (промышленных) парках и управляющих компаниях индустриальных (промышленных) парков", до первого числа месяца, следующего за месяцем, в котором сведения об индустриальном (промышленном) парке и управляющей компании индустриального (промышленного) парка исключены из указанного реестра, но не более пяти лет с даты включения в реестр.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3)организации в отношении земельных участков, занятых промышленными технопарками.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Налоговый вычет предоставляется с первого месяца, следующего за месяцем, в котором управляющая компания включена в реестр промышленных технопарков и управляющих компаний промышленных технопарков, соответствующих требованиям, определенным Постановлением Правительства Российской Федерации от 27.12.2019 № 1863 "О промышленных технопарках и управляющих компаниях промышленных технопарков", до первого числа месяца, следующего за месяцем, в котором сведения о промышленном технопарке и управляющей компании промышленного технопарка исключены из указанного реестра, но не более пяти лет с даты включения в реестр;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4)аккредитованные организации, осуществляющие деятельность в области информационных технологий и признаваемые налогоплательщиками в соответствии со статьей 389 Налогового кодекса Российской Федерации, в отношении земельных участков, предназначенных и используемых для размещения объектов связи и центров обработки данных, на период с 01.01.2022 года по 31.12.2024 года.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  <w:u w:val="single"/>
        </w:rPr>
        <w:t xml:space="preserve">Стимулирующие налоговые расходы по земельному налогу в виде пониженных ставок: 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5)малоэтажная многоквартирная жилая застройка;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6)среднеэтажная жилая застройка;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7)многоэтажная жилая застройка (высотная застройка);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 xml:space="preserve">8)хранение автотранспорта; 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9)дома социального обслуживания;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10)оказание социальной помощи населению;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 xml:space="preserve">11)бытовое обслуживание; 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12)здравоохранение;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13)образование и просвещение;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14)культурное развитие;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lastRenderedPageBreak/>
        <w:t>15)религиозное использование;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16)обеспечение научной деятельности;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17)отдых (рекреация).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Объем стимулирующих налоговых расходов по земельному налогу составил 16 279,4 тыс. рублей.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По совокупности значений критериев, используемых для оценки эффективности, действие 9 стимулирующих налоговых расходов признаны эффективными: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-соответствуют целям социально-экономического развития муниципального образования городской округ города Нефтеюганска на период до 2030 года - создание условий для повышения качества жизни населения города;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-уровень востребованности составил 100 % (121 плательщик воспользовался правом освобождения от уплаты налога).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Действие 8 стимулирующих налоговых расходов не были востребованы: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1)организации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строительства, подтвержденного выданным разрешением на строительство, до ввода объекта в эксплуатацию, но не более трех лет;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2)организации в отношении земельных участков, занятых промышленными технопарками;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3)аккредитованные организации, осуществляющие деятельность в области информационных технологий и признаваемые налогоплательщиками в соответствии со статьей 389 Налогового кодекса Российской Федерации, в отношении земельных участков, предназначенных и используемых для размещения объектов связи и центров обработки данных, на период с 01.01.2022 года по 31.12.2024 года;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4)малоэтажная многоквартирная жилая застройка;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5)среднеэтажная жилая застройка;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6)дома социального обслуживания;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7)религиозное использование;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8) обеспечение научной деятельности.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 xml:space="preserve">В отчетном периоде налогоплательщики не воспользовались, установленными льготами, в связи с чем сформировать выводы о его эффективности (неэффективности) в рассматриваемом периоде не представилось возможным. В целях создания оптимальных условий для стимулирования экономического роста, развития предпринимательской и инвестиционной деятельности данные налоговые расходы предлагается сохранить. 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  <w:highlight w:val="white"/>
          <w:u w:val="single"/>
        </w:rPr>
        <w:t>Социальные налоговые расходы по земельному налогу в размере 100%: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  <w:highlight w:val="white"/>
        </w:rPr>
        <w:t>1)ветераны, инвалиды и участники Великой Отечественной войны, ветераны и инвалиды боевых действий;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  <w:highlight w:val="white"/>
        </w:rPr>
        <w:t>2)инвалиды I и II групп, а также неработающие инвалиды III группы;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  <w:highlight w:val="white"/>
        </w:rPr>
        <w:t>3)инвалиды с детства;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  <w:highlight w:val="white"/>
        </w:rPr>
        <w:lastRenderedPageBreak/>
        <w:t>4)пенсионеры, получающие пенсии, назначаемые в порядке, установленном пенсионным законодательством, а также лица, достигшие возраста, дающего права на назначение пенсии;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  <w:highlight w:val="white"/>
        </w:rPr>
        <w:t>5)лица, получающие пенсию по случаю потери кормильца.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  <w:highlight w:val="white"/>
        </w:rPr>
        <w:t>6)</w:t>
      </w:r>
      <w:r>
        <w:rPr>
          <w:color w:val="000000"/>
          <w:sz w:val="28"/>
        </w:rPr>
        <w:t>лица, имеющие трех и более детей в возрасте до 18 лет и (или) детей, в возрасте до 23 лет, обучающихся по очной форме обучения в профессиональных образовательных организациях или образовательных организациях высшего образования по образовательным программам среднего профессионального образования или высшего образования</w:t>
      </w:r>
      <w:r>
        <w:rPr>
          <w:color w:val="000000"/>
          <w:sz w:val="28"/>
          <w:highlight w:val="white"/>
        </w:rPr>
        <w:t>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i/>
          <w:color w:val="000000"/>
          <w:sz w:val="28"/>
        </w:rPr>
        <w:t>Объем социальных налоговых расходов по земельному налогу составил 164,8 тыс. рублей.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По совокупности значений критериев, используемых для оценки эффективности, действие всех 6-ти социальных налоговых расходов признаны эффективными: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-соответствуют целям социально-экономического развития муниципального образования городской округ города Нефтеюганска на период до 2030 года - создание условий для повышения качества жизни населения города;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-уровень востребованности</w:t>
      </w:r>
      <w:r w:rsidR="00377226">
        <w:rPr>
          <w:color w:val="000000"/>
          <w:sz w:val="28"/>
        </w:rPr>
        <w:t xml:space="preserve"> составил 100 % (250 плательщиков</w:t>
      </w:r>
      <w:r>
        <w:rPr>
          <w:color w:val="000000"/>
          <w:sz w:val="28"/>
        </w:rPr>
        <w:t xml:space="preserve"> воспользовались правом освобождения от уплаты налога).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</w:rPr>
      </w:pPr>
      <w:r w:rsidRPr="000D7ACE">
        <w:rPr>
          <w:color w:val="000000"/>
          <w:sz w:val="28"/>
        </w:rPr>
        <w:t> 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b/>
          <w:color w:val="000000"/>
          <w:sz w:val="28"/>
          <w:highlight w:val="white"/>
        </w:rPr>
        <w:t>Оценка эффективности налоговых расходов по налогу на имущество физических лиц</w:t>
      </w:r>
      <w:r>
        <w:rPr>
          <w:color w:val="000000"/>
          <w:sz w:val="28"/>
          <w:highlight w:val="white"/>
        </w:rPr>
        <w:t>.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10"/>
          <w:highlight w:val="white"/>
        </w:rPr>
        <w:t> 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  <w:highlight w:val="white"/>
        </w:rPr>
        <w:t>В соответствии с решением Думы 28.10.2020 № 849-VI "О налоге на имущество физических лиц" налоговые расходы предоставлены в виде налоговых льгот и пониженных ставок.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Оценка эффективности проведена по 5 налоговым расходам. Объем налоговых расходов по налогу на имущество физических лиц</w:t>
      </w:r>
      <w:r>
        <w:rPr>
          <w:color w:val="000000"/>
          <w:sz w:val="28"/>
          <w:u w:val="single"/>
        </w:rPr>
        <w:t xml:space="preserve"> </w:t>
      </w:r>
      <w:r>
        <w:rPr>
          <w:color w:val="000000"/>
          <w:sz w:val="28"/>
        </w:rPr>
        <w:t>составил 5 162,2 тыс. рублей.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Весь объем налоговых расходов приходится на социальные налоговые расходы. Воспользовались налоговыми льготами по налогу на имущество физических лиц в 2024 году 7 471 налогоплательщик.</w:t>
      </w:r>
      <w:r>
        <w:rPr>
          <w:rFonts w:ascii="Calibri" w:eastAsia="Calibri" w:hAnsi="Calibri" w:cs="Calibri"/>
          <w:color w:val="000000"/>
          <w:sz w:val="22"/>
        </w:rPr>
        <w:t xml:space="preserve"> 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  <w:u w:val="single"/>
        </w:rPr>
        <w:t>Социальные налоговые расходы по налогу на имущество физических лиц в размере 100%: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1)коренным малочисленным народам Севера (ханты, манси, ненцы), проживающим на территории города Нефтеюганска и сохраняющим традиционные образ жизни, хозяйствование и промыслы;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2)неработающим трудоспособным лицам, осуществляющим уход за инвалидами 1 группы или престарелыми лицами, нуждающимися в постоянном постороннем уходе, по заключению лечебного учреждения, а также за детьми- инвалидами в возрасте до 18 лет;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3)лицам до 18 лет;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 xml:space="preserve">4)многодетным семьям, воспитывающих трех и более детей до 18 лет, при наличии удостоверения, регламентирующего статус многодетной семьи. В </w:t>
      </w:r>
      <w:r>
        <w:rPr>
          <w:color w:val="000000"/>
          <w:sz w:val="28"/>
        </w:rPr>
        <w:lastRenderedPageBreak/>
        <w:t xml:space="preserve">случае утраты статуса многодетной семьи в связи с достижением детьми            18-летнего возраста льгота распространяется на указанные семьи до достижения детьми возраста 23 лет, при условии, что они обучаются по очной форме обучения в профессиональных образовательных организациях или образовательных организациях высшего образования по образовательным программам среднего профессионального образования или высшего образования. 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  <w:u w:val="single"/>
        </w:rPr>
        <w:t>Социальные налоговые расходы по налогу на имущество физических лиц в размере 50%: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5) неработающим инвалидам III группы налоговая льгота предоставляется в размере 50%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По совокупности значений критериев, используемых для оценки эффективности, действие 5 социальных налоговых расходов в 2024 году признано эффективными: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-соответствуют целям социально-экономического развития муниципального образования города Нефтеюганск на период до 2030 года по созданию условий для повышения качества жизни населения города;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</w:rPr>
        <w:t>-уровень востребованности составил 100 % (7 471 плательщик воспользовался правом освобождения от уплаты налога).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  <w:highlight w:val="white"/>
        </w:rPr>
        <w:t>По итогам оценки предлагается сохранить налоговые расходы в виде освобождения от уплаты налога на имущество физических лиц.</w:t>
      </w:r>
    </w:p>
    <w:p w:rsidR="000D7ACE" w:rsidRDefault="000D7ACE" w:rsidP="000D7A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color w:val="000000"/>
          <w:sz w:val="28"/>
          <w:highlight w:val="white"/>
        </w:rPr>
        <w:t>Результаты оценки будут учтены при формировании основных направлений бюджетной и налоговой политики города на очередной финансовый год и плановый период.</w:t>
      </w:r>
    </w:p>
    <w:p w:rsidR="000D7ACE" w:rsidRDefault="000D7ACE" w:rsidP="000D7ACE">
      <w:pPr>
        <w:ind w:firstLine="709"/>
        <w:jc w:val="both"/>
        <w:rPr>
          <w:sz w:val="28"/>
          <w:szCs w:val="28"/>
          <w:highlight w:val="white"/>
        </w:rPr>
      </w:pPr>
    </w:p>
    <w:p w:rsidR="000D7ACE" w:rsidRDefault="000D7ACE" w:rsidP="000D7ACE">
      <w:pPr>
        <w:ind w:firstLine="709"/>
        <w:jc w:val="both"/>
        <w:rPr>
          <w:sz w:val="28"/>
          <w:szCs w:val="28"/>
          <w:highlight w:val="white"/>
        </w:rPr>
      </w:pPr>
    </w:p>
    <w:p w:rsidR="006C3FD9" w:rsidRPr="000D7ACE" w:rsidRDefault="006C3FD9" w:rsidP="000D7ACE"/>
    <w:sectPr w:rsidR="006C3FD9" w:rsidRPr="000D7ACE" w:rsidSect="00337F43">
      <w:headerReference w:type="even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3D9" w:rsidRDefault="00D913D9">
      <w:r>
        <w:separator/>
      </w:r>
    </w:p>
  </w:endnote>
  <w:endnote w:type="continuationSeparator" w:id="0">
    <w:p w:rsidR="00D913D9" w:rsidRDefault="00D9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3D9" w:rsidRDefault="00D913D9">
      <w:r>
        <w:separator/>
      </w:r>
    </w:p>
  </w:footnote>
  <w:footnote w:type="continuationSeparator" w:id="0">
    <w:p w:rsidR="00D913D9" w:rsidRDefault="00D91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78D" w:rsidRDefault="003C506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578D" w:rsidRDefault="001A578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8D"/>
    <w:rsid w:val="00010A02"/>
    <w:rsid w:val="000379D8"/>
    <w:rsid w:val="000B2D37"/>
    <w:rsid w:val="000B31BF"/>
    <w:rsid w:val="000C5DAA"/>
    <w:rsid w:val="000D5F00"/>
    <w:rsid w:val="000D7ACE"/>
    <w:rsid w:val="00123A57"/>
    <w:rsid w:val="00140EC8"/>
    <w:rsid w:val="001A578D"/>
    <w:rsid w:val="0029687B"/>
    <w:rsid w:val="002A2F86"/>
    <w:rsid w:val="002D707C"/>
    <w:rsid w:val="002E0D72"/>
    <w:rsid w:val="00337F43"/>
    <w:rsid w:val="00362BCA"/>
    <w:rsid w:val="0036592D"/>
    <w:rsid w:val="00377226"/>
    <w:rsid w:val="003C5067"/>
    <w:rsid w:val="003E5A5C"/>
    <w:rsid w:val="00457F03"/>
    <w:rsid w:val="00472929"/>
    <w:rsid w:val="004E499F"/>
    <w:rsid w:val="00565C77"/>
    <w:rsid w:val="005F380E"/>
    <w:rsid w:val="006C3FD9"/>
    <w:rsid w:val="007232F0"/>
    <w:rsid w:val="007650A5"/>
    <w:rsid w:val="007A60D3"/>
    <w:rsid w:val="007A7918"/>
    <w:rsid w:val="00834501"/>
    <w:rsid w:val="00883CA1"/>
    <w:rsid w:val="008A4928"/>
    <w:rsid w:val="009670DA"/>
    <w:rsid w:val="009C1F98"/>
    <w:rsid w:val="00A33C59"/>
    <w:rsid w:val="00A40345"/>
    <w:rsid w:val="00AB08B4"/>
    <w:rsid w:val="00AC5C06"/>
    <w:rsid w:val="00AF380E"/>
    <w:rsid w:val="00B951F8"/>
    <w:rsid w:val="00B972D8"/>
    <w:rsid w:val="00BB692F"/>
    <w:rsid w:val="00C31DBD"/>
    <w:rsid w:val="00C604C4"/>
    <w:rsid w:val="00C80239"/>
    <w:rsid w:val="00CA2C63"/>
    <w:rsid w:val="00CF1A25"/>
    <w:rsid w:val="00D14092"/>
    <w:rsid w:val="00D3373B"/>
    <w:rsid w:val="00D913D9"/>
    <w:rsid w:val="00D92170"/>
    <w:rsid w:val="00D9420E"/>
    <w:rsid w:val="00DC082F"/>
    <w:rsid w:val="00DC6F55"/>
    <w:rsid w:val="00E310B8"/>
    <w:rsid w:val="00E373E2"/>
    <w:rsid w:val="00EC75F1"/>
    <w:rsid w:val="00F06366"/>
    <w:rsid w:val="00F45C87"/>
    <w:rsid w:val="00F6223B"/>
    <w:rsid w:val="00F8029A"/>
    <w:rsid w:val="00F934B3"/>
    <w:rsid w:val="00FA7444"/>
    <w:rsid w:val="00FA7D25"/>
    <w:rsid w:val="00FC5A97"/>
    <w:rsid w:val="00FE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CBD739-21FE-4C17-8FDC-7928A866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Pr>
      <w:color w:val="0000FF"/>
      <w:u w:val="single"/>
    </w:rPr>
  </w:style>
  <w:style w:type="character" w:customStyle="1" w:styleId="a9">
    <w:name w:val="Основной текст Знак"/>
    <w:link w:val="a8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Pr>
      <w:rFonts w:ascii="Arial Narrow" w:hAnsi="Arial Narrow"/>
      <w:b/>
      <w:sz w:val="36"/>
    </w:rPr>
  </w:style>
  <w:style w:type="paragraph" w:styleId="2">
    <w:name w:val="Body Text 2"/>
    <w:basedOn w:val="a"/>
    <w:link w:val="20"/>
    <w:semiHidden/>
    <w:unhideWhenUsed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Pr>
      <w:sz w:val="24"/>
      <w:szCs w:val="24"/>
    </w:rPr>
  </w:style>
  <w:style w:type="character" w:styleId="ad">
    <w:name w:val="Strong"/>
    <w:basedOn w:val="a0"/>
    <w:uiPriority w:val="22"/>
    <w:qFormat/>
    <w:rsid w:val="00565C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1972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13187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Gonsales</cp:lastModifiedBy>
  <cp:revision>2</cp:revision>
  <cp:lastPrinted>2021-09-17T03:38:00Z</cp:lastPrinted>
  <dcterms:created xsi:type="dcterms:W3CDTF">2025-09-11T13:37:00Z</dcterms:created>
  <dcterms:modified xsi:type="dcterms:W3CDTF">2025-09-11T13:37:00Z</dcterms:modified>
</cp:coreProperties>
</file>